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9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60"/>
        <w:gridCol w:w="992"/>
        <w:gridCol w:w="4394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СОГЛАСОВАНО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                                                                                                                                                         Регионального отделения Общероссийской                                                                                                        спортивной общественной организации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«Федерация пулевой стрельбы и стендовой стрельбы                                                                                                          «Стрелковый Союз России» в Республике Башкортостан                             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____________В.М. Новцев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«___»______________202__ г.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УТВЕРЖДАЮ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be-BY" w:eastAsia="ru-RU"/>
              </w:rPr>
              <w:t>Начальник Управления по физической культуре и спорту Администрации городского округа город Уфа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______________Е.В. Сорокин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«___»______________202__ г.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6"/>
        <w:jc w:val="center"/>
        <w:rPr>
          <w:b/>
          <w:b/>
          <w:szCs w:val="28"/>
        </w:rPr>
      </w:pPr>
      <w:r>
        <w:rPr>
          <w:b/>
          <w:szCs w:val="28"/>
        </w:rPr>
        <w:t>ПОЛОЖЕНИЕ о проведении</w:t>
      </w:r>
    </w:p>
    <w:p>
      <w:pPr>
        <w:pStyle w:val="Style26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Кубка г. Уфы по стрельбе</w:t>
      </w:r>
    </w:p>
    <w:p>
      <w:pPr>
        <w:pStyle w:val="Style26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из пневматического оружия, посвящённого памяти К.И. Золотарёва</w:t>
      </w:r>
    </w:p>
    <w:p>
      <w:pPr>
        <w:pStyle w:val="Style2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6"/>
        <w:ind w:left="1416" w:hanging="0"/>
        <w:rPr>
          <w:b/>
          <w:b/>
          <w:sz w:val="18"/>
        </w:rPr>
      </w:pPr>
      <w:r>
        <w:rPr>
          <w:b/>
          <w:szCs w:val="28"/>
        </w:rPr>
        <w:t xml:space="preserve">      </w:t>
      </w:r>
    </w:p>
    <w:p>
      <w:pPr>
        <w:pStyle w:val="Normal"/>
        <w:jc w:val="center"/>
        <w:rPr>
          <w:sz w:val="18"/>
          <w:lang w:eastAsia="ru-RU"/>
        </w:rPr>
      </w:pPr>
      <w:r>
        <w:rPr/>
        <w:drawing>
          <wp:inline distT="0" distB="0" distL="0" distR="0">
            <wp:extent cx="5940425" cy="4316095"/>
            <wp:effectExtent l="0" t="0" r="0" b="0"/>
            <wp:docPr id="1" name="Рисунок 1" descr="Ð¡ÑÑÐµÐ»Ð¾Ðº ÐÐ¸ÑÐ°Ð»Ð¸Ð½Ð° ÐÐ°ÑÐ°ÑÐ°ÑÐºÐ¸Ð½Ð° Ð¿ÑÐ¸Ð½ÐµÑÐ»Ð° Ð Ð¾ÑÑÐ¸Ð¸ Ð²ÑÐ¾ÑÑÑ Ð¼ÐµÐ´Ð°Ð»Ñ Ð½Ð° ÐÐ»Ð¸Ð¼Ð¿Ð¸Ð°Ð´Ðµ Ð² Ð Ð¸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Ð¡ÑÑÐµÐ»Ð¾Ðº ÐÐ¸ÑÐ°Ð»Ð¸Ð½Ð° ÐÐ°ÑÐ°ÑÐ°ÑÐºÐ¸Ð½Ð° Ð¿ÑÐ¸Ð½ÐµÑÐ»Ð° Ð Ð¾ÑÑÐ¸Ð¸ Ð²ÑÐ¾ÑÑÑ Ð¼ÐµÐ´Ð°Ð»Ñ Ð½Ð° ÐÐ»Ð¸Ð¼Ð¿Ð¸Ð°Ð´Ðµ Ð² Ð Ð¸Ð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Уфа 2021 г.</w:t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популяризация и развитие спорта в городе Уфе; 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пропаганда здорового образа жизни;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содействие массовому развитию;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воспитание патриотизма и высоких моральных качеств;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повышение спортивного мастерства, выявления сильнейших спортсменов;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сборных команд.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Место и сроки проведения.</w:t>
      </w:r>
    </w:p>
    <w:p>
      <w:pPr>
        <w:pStyle w:val="Normal"/>
        <w:spacing w:lineRule="auto" w:line="24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проведения соревнования:</w:t>
      </w:r>
    </w:p>
    <w:p>
      <w:pPr>
        <w:pStyle w:val="Normal"/>
        <w:spacing w:lineRule="auto" w:line="24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Винтовка: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г. Уфа, ул. С. Богородская, 1 СК «Гастелло»;</w:t>
      </w:r>
    </w:p>
    <w:p>
      <w:pPr>
        <w:pStyle w:val="Normal"/>
        <w:spacing w:lineRule="auto" w:line="24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Пистолет: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г. Уфа ул. Д. Юлтыя 6 СШОР № 26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Соревнования проводятся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«27» ноября 2021 г. 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Организаторы соревнований.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Общее руководство подготовкой и проведением соревнований осуществляет </w:t>
      </w: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>Управление по физической культуре и спорту Администрации городского округа город Уфа РБ.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Непосредственное проведение мероприятия возлагается на</w:t>
      </w: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МАУ «Центр развития спорта» г. Уфа РБ,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РО ОСОО «Федерация пулевой стрельбы и стендовой стрельбы «Стрелковый Союз России» в Республике Башкортостан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be-BY" w:eastAsia="ru-RU"/>
        </w:rPr>
        <w:t>,</w:t>
      </w:r>
      <w:r>
        <w:rPr>
          <w:rFonts w:eastAsia="Times New Roman" w:cs="Times New Roman" w:ascii="Times New Roman" w:hAnsi="Times New Roman"/>
          <w:i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>а также Главную Судейскую Коллегию, утвержденную Управлением по физической культуре и спорту Администрации городского округа г. Уфа РБ в составе:</w:t>
      </w:r>
    </w:p>
    <w:p>
      <w:pPr>
        <w:pStyle w:val="Normal"/>
        <w:spacing w:lineRule="auto" w:line="240"/>
        <w:ind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color w:val="000000" w:themeColor="text1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iCs/>
          <w:sz w:val="28"/>
          <w:szCs w:val="28"/>
        </w:rPr>
        <w:t xml:space="preserve">Главный судья: </w:t>
      </w:r>
      <w:r>
        <w:rPr>
          <w:rStyle w:val="Strong"/>
          <w:rFonts w:cs="Times New Roman" w:ascii="Times New Roman" w:hAnsi="Times New Roman"/>
          <w:b w:val="false"/>
          <w:iCs/>
          <w:color w:val="000000" w:themeColor="text1"/>
          <w:sz w:val="28"/>
          <w:szCs w:val="28"/>
        </w:rPr>
        <w:t>Новцев В.М. тел. 89174392674;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iCs/>
          <w:sz w:val="28"/>
          <w:szCs w:val="28"/>
        </w:rPr>
        <w:t xml:space="preserve">Главный секретарь: </w:t>
      </w:r>
      <w:r>
        <w:rPr>
          <w:rStyle w:val="Strong"/>
          <w:rFonts w:cs="Times New Roman" w:ascii="Times New Roman" w:hAnsi="Times New Roman"/>
          <w:b w:val="false"/>
          <w:iCs/>
          <w:color w:val="FF0000"/>
          <w:sz w:val="28"/>
          <w:szCs w:val="28"/>
        </w:rPr>
        <w:t>Зайнитдинова А.Р. тел</w:t>
      </w:r>
      <w:r>
        <w:rPr>
          <w:rStyle w:val="Strong"/>
          <w:rFonts w:cs="Times New Roman" w:ascii="Times New Roman" w:hAnsi="Times New Roman"/>
          <w:b w:val="false"/>
          <w:i/>
          <w:iCs/>
          <w:color w:val="FF0000"/>
          <w:sz w:val="28"/>
          <w:szCs w:val="28"/>
        </w:rPr>
        <w:t xml:space="preserve">. </w:t>
      </w:r>
      <w:r>
        <w:rPr>
          <w:rStyle w:val="Strong"/>
          <w:rFonts w:cs="Times New Roman" w:ascii="Times New Roman" w:hAnsi="Times New Roman"/>
          <w:b w:val="false"/>
          <w:iCs/>
          <w:color w:val="FF0000"/>
          <w:sz w:val="28"/>
          <w:szCs w:val="28"/>
        </w:rPr>
        <w:t>89625410520.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Требования к участникам соревнований и условия допуска.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участию допускаются спортсмены всех возрастов, имеющие необходимую подготовку и допуск врача.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Программа мероприятия.</w:t>
      </w:r>
    </w:p>
    <w:p>
      <w:pPr>
        <w:pStyle w:val="Style26"/>
        <w:ind w:left="708" w:firstLine="709"/>
        <w:jc w:val="both"/>
        <w:rPr>
          <w:szCs w:val="28"/>
        </w:rPr>
      </w:pPr>
      <w:r>
        <w:rPr>
          <w:szCs w:val="28"/>
        </w:rPr>
        <w:t>г.</w:t>
      </w:r>
      <w:r>
        <w:rPr>
          <w:b/>
          <w:szCs w:val="28"/>
        </w:rPr>
        <w:t xml:space="preserve"> </w:t>
      </w:r>
      <w:r>
        <w:rPr>
          <w:szCs w:val="28"/>
        </w:rPr>
        <w:t>Уфа, МБУ СШОР № 26 ГО г. Уфа Р по адресу: ул. Д. Юлтыя, д. 6 (СОШ № 69).</w:t>
      </w:r>
    </w:p>
    <w:p>
      <w:pPr>
        <w:pStyle w:val="Style26"/>
        <w:ind w:left="708" w:firstLine="709"/>
        <w:jc w:val="both"/>
        <w:rPr>
          <w:szCs w:val="28"/>
        </w:rPr>
      </w:pPr>
      <w:r>
        <w:rPr>
          <w:szCs w:val="28"/>
        </w:rPr>
      </w:r>
    </w:p>
    <w:tbl>
      <w:tblPr>
        <w:tblW w:w="7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6"/>
        <w:gridCol w:w="5404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ind w:firstLine="23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приезда на соревнования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пристрелка оружия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ПП-40м; ПП-40ж; с 10:00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</w:tr>
    </w:tbl>
    <w:p>
      <w:pPr>
        <w:pStyle w:val="Normal"/>
        <w:spacing w:lineRule="auto" w:line="240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г. Уфа, СК «Гастелло» по адресу: ул. С. Богородская, 1</w:t>
      </w:r>
      <w:bookmarkStart w:id="0" w:name="_GoBack"/>
      <w:bookmarkEnd w:id="0"/>
    </w:p>
    <w:tbl>
      <w:tblPr>
        <w:tblW w:w="7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6"/>
        <w:gridCol w:w="5404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ind w:firstLine="23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приезда на соревнования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пристрелка оружия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ВП-40м; ВП-40ж; с 10:00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sz w:val="28"/>
          <w:szCs w:val="28"/>
        </w:rPr>
        <w:t>. Условия подведения итогов.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Соревнования проводятся по действующим правилам проведения соревнований по пулевой стрельбе. 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bCs/>
          <w:sz w:val="28"/>
          <w:szCs w:val="28"/>
        </w:rPr>
        <w:t>. Награждение.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и призеры награждаются  грамотами и медалями, учрежденными Управлением по физической культуре и спорту Администрации городского округа город Уфа Республики Башкортостан.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/>
          <w:bCs/>
          <w:sz w:val="28"/>
          <w:szCs w:val="28"/>
        </w:rPr>
        <w:t>. Условия финансирования.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(</w:t>
      </w:r>
      <w:r>
        <w:rPr>
          <w:rFonts w:cs="Times New Roman" w:ascii="Times New Roman" w:hAnsi="Times New Roman"/>
          <w:color w:val="FF0000"/>
          <w:sz w:val="28"/>
          <w:szCs w:val="28"/>
        </w:rPr>
        <w:t>услуги по медицинскому обеспечению, приобретение наградной атрибутики</w:t>
      </w:r>
      <w:r>
        <w:rPr>
          <w:rFonts w:cs="Times New Roman" w:ascii="Times New Roman" w:hAnsi="Times New Roman"/>
          <w:sz w:val="28"/>
          <w:szCs w:val="28"/>
        </w:rPr>
        <w:t>) несет МАУ «Центр развития спорта» г. Уфа РБ.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по командированию участников фестиваля (проезд, суточные, питание, транспортные услуги, сохранение заработной платы в день соревнований) за счет командирующих организаций.</w:t>
      </w:r>
    </w:p>
    <w:p>
      <w:pPr>
        <w:pStyle w:val="PlainText"/>
        <w:ind w:first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PlainText"/>
        <w:ind w:first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IX</w:t>
      </w:r>
      <w:r>
        <w:rPr>
          <w:rFonts w:cs="Times New Roman" w:ascii="Times New Roman" w:hAnsi="Times New Roman"/>
          <w:b/>
          <w:sz w:val="28"/>
          <w:szCs w:val="28"/>
        </w:rPr>
        <w:t>. Обеспечение безопасности.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обеспечения безопасности участников и зрителей соревнования,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Организация и проведение осуществляется согласно рекомендациям по профилактике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>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фитнес-клубах), утвержденным Федеральной службой по надзору в сфере защиты прав потребителей и благополучия человека 22 мая 2020 г., а также в соответствии с рекомендациями Минспорта России от 22.07.2020г. № ОБ – 01 -13/ 5410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</w:rPr>
        <w:t>. Страхование участников.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соревнованиях допускается только при наличии договора (оригинала) о страховании жизни и здоровья от несчастных случаев.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Участники, не имеющие договора о страховании, к соревнованиям не допускаются.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lainText"/>
        <w:ind w:first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/>
          <w:sz w:val="28"/>
          <w:szCs w:val="28"/>
        </w:rPr>
        <w:t>. Подача заявок на участие.</w:t>
      </w:r>
    </w:p>
    <w:p>
      <w:pPr>
        <w:pStyle w:val="PlainTex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Предварительные заявки принимаются с «</w:t>
      </w:r>
      <w:r>
        <w:rPr>
          <w:rFonts w:cs="Times New Roman" w:ascii="Times New Roman" w:hAnsi="Times New Roman"/>
          <w:color w:val="FF0000"/>
          <w:sz w:val="28"/>
          <w:szCs w:val="28"/>
        </w:rPr>
        <w:t>22» ноября 2021г. по «25» ноября 2021г</w:t>
      </w:r>
      <w:r>
        <w:rPr>
          <w:rFonts w:cs="Times New Roman" w:ascii="Times New Roman" w:hAnsi="Times New Roman"/>
          <w:sz w:val="28"/>
          <w:szCs w:val="28"/>
        </w:rPr>
        <w:t>.  в мандатную комиссию по адресу: г. Уфа ул. С. Богородская 1, тел. 238-88-33., Д. Юлтыя 6 СШОР №26., тел. 284-40-05.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заявки подаются  на месте проведения соревнований.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0" w:header="567" w:top="1134" w:footer="567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720" w:leader="none"/>
        </w:tabs>
        <w:suppressAutoHyphens w:val="true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участие в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наименование соревнования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г.р. от команды 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9"/>
        <w:gridCol w:w="2561"/>
        <w:gridCol w:w="1948"/>
        <w:gridCol w:w="2668"/>
        <w:gridCol w:w="2371"/>
      </w:tblGrid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ФИО</w:t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ФИО тренера</w:t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Допуск врача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Представитель команды 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851" w:header="567" w:top="1021" w:footer="567" w:bottom="102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4dd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5b4fb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5"/>
    <w:qFormat/>
    <w:rsid w:val="00de5f1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c634ea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c634ea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c634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3fee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b4fb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7" w:customStyle="1">
    <w:name w:val="Основной текст с отступом Знак"/>
    <w:basedOn w:val="DefaultParagraphFont"/>
    <w:link w:val="ae"/>
    <w:qFormat/>
    <w:rsid w:val="004a748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654eb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a6"/>
    <w:qFormat/>
    <w:rsid w:val="00de5f1d"/>
    <w:pPr>
      <w:spacing w:lineRule="auto" w:line="24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c634ea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a"/>
    <w:uiPriority w:val="99"/>
    <w:unhideWhenUsed/>
    <w:rsid w:val="00c634ea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c634ea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f"/>
    <w:rsid w:val="004a748b"/>
    <w:pPr>
      <w:spacing w:lineRule="auto" w:line="240"/>
      <w:ind w:firstLine="567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5e5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9490-67BC-46C0-9F46-EB4214F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5</Pages>
  <Words>598</Words>
  <Characters>4171</Characters>
  <CharactersWithSpaces>5125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2018-12-05T05:14:00Z</dcterms:created>
  <dc:creator>User</dc:creator>
  <dc:description/>
  <dc:language>ru-RU</dc:language>
  <cp:lastModifiedBy/>
  <cp:lastPrinted>2018-12-05T05:31:00Z</cp:lastPrinted>
  <dcterms:modified xsi:type="dcterms:W3CDTF">2021-11-22T19:40:40Z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